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518C2">
      <w:pPr>
        <w:rPr>
          <w:rFonts w:hint="eastAsia" w:eastAsia="黑体" w:cs="宋体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</w:p>
    <w:p w14:paraId="17662AFF">
      <w:pPr>
        <w:rPr>
          <w:rFonts w:hint="eastAsia"/>
          <w:sz w:val="28"/>
          <w:szCs w:val="28"/>
          <w:vertAlign w:val="subscript"/>
        </w:rPr>
      </w:pPr>
    </w:p>
    <w:p w14:paraId="525C404E">
      <w:pPr>
        <w:pStyle w:val="4"/>
        <w:shd w:val="clear" w:color="auto" w:fill="FFFFFF"/>
        <w:spacing w:before="0" w:beforeAutospacing="0" w:after="0" w:afterAutospacing="0" w:line="420" w:lineRule="atLeast"/>
        <w:jc w:val="center"/>
        <w:rPr>
          <w:rStyle w:val="7"/>
          <w:rFonts w:hint="eastAsia" w:ascii="仿宋_GB2312" w:hAnsi="Arial" w:eastAsia="仿宋_GB2312" w:cs="Arial"/>
          <w:color w:val="333333"/>
          <w:sz w:val="44"/>
          <w:szCs w:val="44"/>
        </w:rPr>
      </w:pPr>
      <w:bookmarkStart w:id="0" w:name="_GoBack"/>
      <w:r>
        <w:rPr>
          <w:rStyle w:val="7"/>
          <w:rFonts w:hint="eastAsia" w:ascii="仿宋_GB2312" w:hAnsi="Arial" w:eastAsia="仿宋_GB2312" w:cs="Arial"/>
          <w:color w:val="333333"/>
          <w:sz w:val="44"/>
          <w:szCs w:val="44"/>
        </w:rPr>
        <w:t>技师、高级技师《技术能力总结》撰写、</w:t>
      </w:r>
    </w:p>
    <w:p w14:paraId="3AB3AB5B">
      <w:pPr>
        <w:pStyle w:val="4"/>
        <w:shd w:val="clear" w:color="auto" w:fill="FFFFFF"/>
        <w:spacing w:before="0" w:beforeAutospacing="0" w:after="0" w:afterAutospacing="0" w:line="420" w:lineRule="atLeast"/>
        <w:jc w:val="center"/>
        <w:rPr>
          <w:rFonts w:hint="eastAsia" w:ascii="仿宋_GB2312" w:hAnsi="Arial" w:eastAsia="仿宋_GB2312" w:cs="Arial"/>
          <w:color w:val="333333"/>
          <w:sz w:val="44"/>
          <w:szCs w:val="44"/>
        </w:rPr>
      </w:pPr>
      <w:r>
        <w:rPr>
          <w:rStyle w:val="7"/>
          <w:rFonts w:hint="eastAsia" w:ascii="仿宋_GB2312" w:hAnsi="Arial" w:eastAsia="仿宋_GB2312" w:cs="Arial"/>
          <w:color w:val="333333"/>
          <w:sz w:val="44"/>
          <w:szCs w:val="44"/>
        </w:rPr>
        <w:t>评审与答辩</w:t>
      </w:r>
      <w:bookmarkEnd w:id="0"/>
    </w:p>
    <w:p w14:paraId="4F779DFF">
      <w:pPr>
        <w:pStyle w:val="4"/>
        <w:shd w:val="clear" w:color="auto" w:fill="FFFFFF"/>
        <w:spacing w:before="0" w:beforeAutospacing="0" w:after="0" w:afterAutospacing="0" w:line="420" w:lineRule="atLeast"/>
        <w:ind w:firstLine="707" w:firstLineChars="220"/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</w:pPr>
    </w:p>
    <w:p w14:paraId="681E5658">
      <w:pPr>
        <w:pStyle w:val="4"/>
        <w:shd w:val="clear" w:color="auto" w:fill="FFFFFF"/>
        <w:spacing w:before="0" w:beforeAutospacing="0" w:after="0" w:afterAutospacing="0" w:line="420" w:lineRule="atLeast"/>
        <w:ind w:firstLine="707" w:firstLineChars="220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一、《技术能力总结》撰写需包含以下几个方面内容：</w:t>
      </w:r>
    </w:p>
    <w:p w14:paraId="7D696550">
      <w:pPr>
        <w:pStyle w:val="4"/>
        <w:shd w:val="clear" w:color="auto" w:fill="FFFFFF"/>
        <w:spacing w:before="0" w:beforeAutospacing="0" w:after="0" w:afterAutospacing="0" w:line="420" w:lineRule="atLeast"/>
        <w:ind w:firstLine="704" w:firstLineChars="220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1.本人的职业经历，包括职业入门与职业变迁情况等。</w:t>
      </w:r>
    </w:p>
    <w:p w14:paraId="3A7984B8">
      <w:pPr>
        <w:pStyle w:val="4"/>
        <w:shd w:val="clear" w:color="auto" w:fill="FFFFFF"/>
        <w:spacing w:before="0" w:beforeAutospacing="0" w:after="0" w:afterAutospacing="0" w:line="420" w:lineRule="atLeast"/>
        <w:ind w:firstLine="704" w:firstLineChars="220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2.体现本人技术水平、工作能力和业务实绩的具体内容与典型实例的技术分析。</w:t>
      </w:r>
    </w:p>
    <w:p w14:paraId="75CB6DAD">
      <w:pPr>
        <w:pStyle w:val="4"/>
        <w:shd w:val="clear" w:color="auto" w:fill="FFFFFF"/>
        <w:spacing w:before="0" w:beforeAutospacing="0" w:after="0" w:afterAutospacing="0" w:line="420" w:lineRule="atLeast"/>
        <w:ind w:firstLine="704" w:firstLineChars="220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3.本人本职业技术水平的自我评价，应与国家标准的相关要求进行对照，找出差距与今后努力的方向。</w:t>
      </w:r>
    </w:p>
    <w:p w14:paraId="6594F9D3">
      <w:pPr>
        <w:pStyle w:val="4"/>
        <w:shd w:val="clear" w:color="auto" w:fill="FFFFFF"/>
        <w:spacing w:before="0" w:beforeAutospacing="0" w:after="0" w:afterAutospacing="0" w:line="420" w:lineRule="atLeast"/>
        <w:ind w:firstLine="707" w:firstLineChars="220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二、《技术能力总结》评审与答辩：</w:t>
      </w:r>
    </w:p>
    <w:p w14:paraId="4C5C3B08">
      <w:pPr>
        <w:pStyle w:val="4"/>
        <w:shd w:val="clear" w:color="auto" w:fill="FFFFFF"/>
        <w:spacing w:before="0" w:beforeAutospacing="0" w:after="0" w:afterAutospacing="0" w:line="420" w:lineRule="atLeast"/>
        <w:ind w:firstLine="704" w:firstLineChars="220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.《技术能力总结》评审：提前一周将技师、高级技师申报者撰写的《技术能力总结》发给高级考评员进行审阅。高级考评员按照国家职业标准的要求对考生撰写的《技术能力总结》进行审阅，客观公正地评定成绩，并写出审阅意见（审阅意见中应对考生撰写的技术能力总结所体现的本职业技术水平、工作能力和业务实绩做出明确具体的评价）。</w:t>
      </w:r>
    </w:p>
    <w:p w14:paraId="6C7DCE90">
      <w:pPr>
        <w:pStyle w:val="4"/>
        <w:shd w:val="clear" w:color="auto" w:fill="FFFFFF"/>
        <w:spacing w:before="0" w:beforeAutospacing="0" w:after="0" w:afterAutospacing="0" w:line="420" w:lineRule="atLeast"/>
        <w:ind w:firstLine="704" w:firstLineChars="22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2.《技术能力总结》答辩：高级技师申报者应在《技术能力总结》评审合格后方能进行答辩。答辩整个工作流程由省市指导中心及鉴定机构和高级考评员把关。技师一般不进行答辩。</w:t>
      </w:r>
    </w:p>
    <w:p w14:paraId="3D1688A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CC0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6511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6511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C80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178B3"/>
    <w:rsid w:val="105178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2025-07-20T03:34:00Z</dcterms:created>
  <dc:creator>翔</dc:creator>
  <cp:lastModifiedBy>翔</cp:lastModifiedBy>
  <dcterms:modified xsi:type="dcterms:W3CDTF">2025-07-20T03:34:52Z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F7C67A2CC3E44E7997F34D277D7DC590_11</vt:lpwstr>
  </property>
  <property fmtid="{D5CDD505-2E9C-101B-9397-08002B2CF9AE}" pid="4" name="KSOTemplateDocerSaveRecord">
    <vt:lpwstr>eyJoZGlkIjoiODE2M2U0MTAzM2YzNWY0MzBhYmY1NjNkZjVhOWVkNWEiLCJ1c2VySWQiOiI0NTYwMDY5NDQifQ==</vt:lpwstr>
  </property>
</Properties>
</file>